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14248" w14:textId="4D540698" w:rsidR="00B71E03" w:rsidRPr="00D52E13" w:rsidRDefault="0060416F" w:rsidP="00B71E03">
      <w:pPr>
        <w:spacing w:line="288" w:lineRule="auto"/>
        <w:ind w:firstLine="422"/>
        <w:rPr>
          <w:b/>
        </w:rPr>
      </w:pPr>
      <w:r w:rsidRPr="00D52E13">
        <w:rPr>
          <w:b/>
        </w:rPr>
        <w:t>Supplemental Figure</w:t>
      </w:r>
      <w:r w:rsidR="00B71E03" w:rsidRPr="00D52E13">
        <w:rPr>
          <w:b/>
        </w:rPr>
        <w:t>s</w:t>
      </w:r>
    </w:p>
    <w:p w14:paraId="66B8C49B" w14:textId="77777777" w:rsidR="00B17E12" w:rsidRPr="00D52E13" w:rsidRDefault="00B17E12" w:rsidP="00B71E03">
      <w:pPr>
        <w:spacing w:line="288" w:lineRule="auto"/>
        <w:ind w:firstLine="420"/>
        <w:rPr>
          <w:rFonts w:eastAsiaTheme="minorEastAsia"/>
          <w:b/>
        </w:rPr>
      </w:pPr>
    </w:p>
    <w:p w14:paraId="13787A55" w14:textId="2406C327" w:rsidR="00B71E03" w:rsidRPr="00D52E13" w:rsidRDefault="00B17E12" w:rsidP="00B71E03">
      <w:pPr>
        <w:spacing w:line="288" w:lineRule="auto"/>
        <w:ind w:firstLine="422"/>
        <w:rPr>
          <w:b/>
          <w:bCs/>
        </w:rPr>
      </w:pPr>
      <w:r w:rsidRPr="00D52E13">
        <w:rPr>
          <w:b/>
          <w:bCs/>
          <w:noProof/>
        </w:rPr>
        <w:drawing>
          <wp:inline distT="0" distB="0" distL="0" distR="0" wp14:anchorId="361EF572" wp14:editId="7005A7E4">
            <wp:extent cx="4410075" cy="1790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F9CEDF" w14:textId="645B7BD0" w:rsidR="00B71E03" w:rsidRPr="00D52E13" w:rsidRDefault="00B17E12" w:rsidP="00B71E03">
      <w:pPr>
        <w:spacing w:line="288" w:lineRule="auto"/>
        <w:ind w:firstLine="422"/>
      </w:pPr>
      <w:r w:rsidRPr="00D52E13">
        <w:rPr>
          <w:b/>
          <w:bCs/>
        </w:rPr>
        <w:t xml:space="preserve">Supplementary </w:t>
      </w:r>
      <w:r w:rsidR="00B71E03" w:rsidRPr="00D52E13">
        <w:rPr>
          <w:b/>
          <w:bCs/>
        </w:rPr>
        <w:t>Fig 1.</w:t>
      </w:r>
      <w:r w:rsidR="00B71E03" w:rsidRPr="00D52E13">
        <w:t xml:space="preserve"> </w:t>
      </w:r>
      <w:r w:rsidR="00B71E03" w:rsidRPr="00D52E13">
        <w:rPr>
          <w:b/>
        </w:rPr>
        <w:t>HSR priming using another germline-specific RNAi strain</w:t>
      </w:r>
      <w:r w:rsidR="00B71E03" w:rsidRPr="00D52E13">
        <w:rPr>
          <w:b/>
          <w:bCs/>
        </w:rPr>
        <w:t>.</w:t>
      </w:r>
      <w:r w:rsidR="00B71E03" w:rsidRPr="00D52E13">
        <w:t xml:space="preserve"> (A) Heat shock gene expression of the germline-specific RNAi strain (DCL569) after placing adults on control or </w:t>
      </w:r>
      <w:r w:rsidR="00B71E03" w:rsidRPr="00D52E13">
        <w:rPr>
          <w:i/>
        </w:rPr>
        <w:t>ifg-1</w:t>
      </w:r>
      <w:r w:rsidR="00B71E03" w:rsidRPr="00D52E13">
        <w:t xml:space="preserve"> RNAi for 7 days. A two-way ANOVA was conducted by comparing </w:t>
      </w:r>
      <w:proofErr w:type="spellStart"/>
      <w:r w:rsidR="00B71E03" w:rsidRPr="00D52E13">
        <w:t>ΔCts</w:t>
      </w:r>
      <w:proofErr w:type="spellEnd"/>
      <w:r w:rsidR="00B71E03" w:rsidRPr="00D52E13">
        <w:t xml:space="preserve"> of all genes. Error bars represent means ± SEM. * </w:t>
      </w:r>
      <w:r w:rsidR="00B71E03" w:rsidRPr="00D52E13">
        <w:rPr>
          <w:i/>
        </w:rPr>
        <w:t>p</w:t>
      </w:r>
      <w:r w:rsidR="002D69CA" w:rsidRPr="00D52E13">
        <w:t xml:space="preserve"> </w:t>
      </w:r>
      <w:r w:rsidR="00B71E03" w:rsidRPr="00D52E13">
        <w:t>&lt;0.05, **</w:t>
      </w:r>
      <w:r w:rsidR="00B71E03" w:rsidRPr="00D52E13">
        <w:rPr>
          <w:i/>
        </w:rPr>
        <w:t xml:space="preserve"> p</w:t>
      </w:r>
      <w:r w:rsidR="00B71E03" w:rsidRPr="00D52E13">
        <w:t xml:space="preserve"> &lt; 0.01, *** </w:t>
      </w:r>
      <w:r w:rsidR="00B71E03" w:rsidRPr="00D52E13">
        <w:rPr>
          <w:i/>
        </w:rPr>
        <w:t>p</w:t>
      </w:r>
      <w:r w:rsidR="00B71E03" w:rsidRPr="00D52E13">
        <w:t xml:space="preserve"> &lt; 0.001, **** </w:t>
      </w:r>
      <w:r w:rsidR="00B71E03" w:rsidRPr="00D52E13">
        <w:rPr>
          <w:i/>
        </w:rPr>
        <w:t>p</w:t>
      </w:r>
      <w:r w:rsidR="00B71E03" w:rsidRPr="00D52E13">
        <w:t xml:space="preserve"> &lt; 0.0001.</w:t>
      </w:r>
    </w:p>
    <w:p w14:paraId="7E6DC6D6" w14:textId="5472044A" w:rsidR="00B17E12" w:rsidRPr="00D52E13" w:rsidRDefault="00B17E12" w:rsidP="00B71E03">
      <w:pPr>
        <w:spacing w:line="288" w:lineRule="auto"/>
        <w:ind w:firstLine="420"/>
        <w:rPr>
          <w:rFonts w:eastAsiaTheme="minorEastAsia"/>
        </w:rPr>
      </w:pPr>
    </w:p>
    <w:p w14:paraId="351B7129" w14:textId="77777777" w:rsidR="00B17E12" w:rsidRPr="00D52E13" w:rsidRDefault="00B17E12" w:rsidP="00B71E03">
      <w:pPr>
        <w:spacing w:line="288" w:lineRule="auto"/>
        <w:ind w:firstLine="420"/>
        <w:rPr>
          <w:rFonts w:eastAsiaTheme="minorEastAsia"/>
        </w:rPr>
      </w:pPr>
    </w:p>
    <w:p w14:paraId="7D81F921" w14:textId="75A6FD02" w:rsidR="00B71E03" w:rsidRPr="00D52E13" w:rsidRDefault="00B17E12" w:rsidP="00B71E03">
      <w:pPr>
        <w:spacing w:line="288" w:lineRule="auto"/>
        <w:ind w:firstLine="422"/>
        <w:rPr>
          <w:b/>
          <w:bCs/>
        </w:rPr>
      </w:pPr>
      <w:r w:rsidRPr="00D52E13">
        <w:rPr>
          <w:b/>
          <w:bCs/>
          <w:noProof/>
        </w:rPr>
        <w:lastRenderedPageBreak/>
        <w:drawing>
          <wp:inline distT="0" distB="0" distL="0" distR="0" wp14:anchorId="7254EE46" wp14:editId="63D39F8D">
            <wp:extent cx="3801131" cy="6720840"/>
            <wp:effectExtent l="0" t="0" r="889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30" cy="6739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F690F" w14:textId="7CE1920B" w:rsidR="00B71E03" w:rsidRPr="00D52E13" w:rsidRDefault="00B17E12" w:rsidP="00B71E03">
      <w:pPr>
        <w:spacing w:line="288" w:lineRule="auto"/>
        <w:ind w:firstLine="422"/>
      </w:pPr>
      <w:r w:rsidRPr="00D52E13">
        <w:rPr>
          <w:b/>
          <w:bCs/>
        </w:rPr>
        <w:t xml:space="preserve">Supplementary </w:t>
      </w:r>
      <w:r w:rsidR="00B71E03" w:rsidRPr="00D52E13">
        <w:rPr>
          <w:b/>
          <w:bCs/>
        </w:rPr>
        <w:t>Fig 2.</w:t>
      </w:r>
      <w:r w:rsidR="00B71E03" w:rsidRPr="00D52E13">
        <w:t xml:space="preserve"> </w:t>
      </w:r>
      <w:r w:rsidR="00B71E03" w:rsidRPr="00D52E13">
        <w:rPr>
          <w:b/>
          <w:bCs/>
        </w:rPr>
        <w:t>HSR priming through the mTOR pathway.</w:t>
      </w:r>
      <w:r w:rsidR="00B71E03" w:rsidRPr="00D52E13">
        <w:t xml:space="preserve"> (A) Schematic showing the </w:t>
      </w:r>
      <w:proofErr w:type="spellStart"/>
      <w:r w:rsidR="00B71E03" w:rsidRPr="00D52E13">
        <w:t>mTORC</w:t>
      </w:r>
      <w:proofErr w:type="spellEnd"/>
      <w:r w:rsidR="00B71E03" w:rsidRPr="00D52E13">
        <w:t xml:space="preserve"> pathways inhibited by nutrient scarcity. Only mTORC1 regulates translation, particularly through the Cap-Binding Complex (CBC). (B) Upper panel shows HSR gene expression upon 7 days of exposure to control or </w:t>
      </w:r>
      <w:r w:rsidR="00B71E03" w:rsidRPr="00D52E13">
        <w:rPr>
          <w:i/>
        </w:rPr>
        <w:t>daf-15</w:t>
      </w:r>
      <w:r w:rsidR="00B71E03" w:rsidRPr="00D52E13">
        <w:t xml:space="preserve">/Raptor RNAi of wild-type N2, germline-specific RNAi strain MAH23, and neuron-specific RNAi strain TU3335. Two-way ANOVAs were run for each strain comparing </w:t>
      </w:r>
      <w:proofErr w:type="spellStart"/>
      <w:r w:rsidR="00B71E03" w:rsidRPr="00D52E13">
        <w:rPr>
          <w:rStyle w:val="cf01"/>
        </w:rPr>
        <w:t>Δ</w:t>
      </w:r>
      <w:r w:rsidR="00B71E03" w:rsidRPr="00D52E13">
        <w:t>Cts</w:t>
      </w:r>
      <w:proofErr w:type="spellEnd"/>
      <w:r w:rsidR="00B71E03" w:rsidRPr="00D52E13">
        <w:t xml:space="preserve"> of all genes (</w:t>
      </w:r>
      <w:r w:rsidR="009F120E" w:rsidRPr="00D52E13">
        <w:rPr>
          <w:b/>
          <w:bCs/>
        </w:rPr>
        <w:t>Supplementary</w:t>
      </w:r>
      <w:r w:rsidR="009F120E" w:rsidRPr="00D52E13">
        <w:t xml:space="preserve"> </w:t>
      </w:r>
      <w:r w:rsidR="00B71E03" w:rsidRPr="009F120E">
        <w:rPr>
          <w:b/>
        </w:rPr>
        <w:t>Table</w:t>
      </w:r>
      <w:r w:rsidR="00B71E03" w:rsidRPr="00D52E13">
        <w:t xml:space="preserve"> </w:t>
      </w:r>
      <w:r w:rsidR="00B71E03" w:rsidRPr="009F120E">
        <w:rPr>
          <w:b/>
        </w:rPr>
        <w:t>16</w:t>
      </w:r>
      <w:r w:rsidR="00B71E03" w:rsidRPr="00D52E13">
        <w:t>). Lower panels show survival subsequent to heat exposure (5h at 37°C). Unpaired t-tests using Welch’s correction were run at each time point in the survival curves (</w:t>
      </w:r>
      <w:r w:rsidR="009F120E" w:rsidRPr="00D52E13">
        <w:rPr>
          <w:b/>
          <w:bCs/>
        </w:rPr>
        <w:t>Supplementary</w:t>
      </w:r>
      <w:r w:rsidR="009F120E" w:rsidRPr="00D52E13">
        <w:t xml:space="preserve"> </w:t>
      </w:r>
      <w:r w:rsidR="009F120E" w:rsidRPr="009F120E">
        <w:rPr>
          <w:b/>
        </w:rPr>
        <w:t>Tabl</w:t>
      </w:r>
      <w:bookmarkStart w:id="0" w:name="_GoBack"/>
      <w:bookmarkEnd w:id="0"/>
      <w:r w:rsidR="009F120E" w:rsidRPr="009F120E">
        <w:rPr>
          <w:b/>
        </w:rPr>
        <w:t>e</w:t>
      </w:r>
      <w:r w:rsidR="009F120E" w:rsidRPr="00D52E13">
        <w:t xml:space="preserve"> </w:t>
      </w:r>
      <w:r w:rsidR="00B71E03" w:rsidRPr="009F120E">
        <w:rPr>
          <w:b/>
        </w:rPr>
        <w:t>17</w:t>
      </w:r>
      <w:r w:rsidR="00B71E03" w:rsidRPr="00D52E13">
        <w:t xml:space="preserve">). (C) Same as in (B) except for </w:t>
      </w:r>
      <w:r w:rsidR="00B71E03" w:rsidRPr="00D52E13">
        <w:rPr>
          <w:i/>
          <w:iCs/>
        </w:rPr>
        <w:t>rict-1</w:t>
      </w:r>
      <w:r w:rsidR="00B71E03" w:rsidRPr="00D52E13">
        <w:t>/</w:t>
      </w:r>
      <w:proofErr w:type="spellStart"/>
      <w:r w:rsidR="00B71E03" w:rsidRPr="00D52E13">
        <w:t>Rictor</w:t>
      </w:r>
      <w:proofErr w:type="spellEnd"/>
      <w:r w:rsidR="00B71E03" w:rsidRPr="00D52E13">
        <w:t xml:space="preserve"> RNAi as the test. Error bars represent means ± SEM. * </w:t>
      </w:r>
      <w:r w:rsidR="00B71E03" w:rsidRPr="00D52E13">
        <w:rPr>
          <w:i/>
        </w:rPr>
        <w:t>p</w:t>
      </w:r>
      <w:r w:rsidR="002D69CA" w:rsidRPr="00D52E13">
        <w:t xml:space="preserve"> </w:t>
      </w:r>
      <w:r w:rsidR="00B71E03" w:rsidRPr="00D52E13">
        <w:t xml:space="preserve">&lt;0.05, ** </w:t>
      </w:r>
      <w:r w:rsidR="00B71E03" w:rsidRPr="00D52E13">
        <w:rPr>
          <w:i/>
        </w:rPr>
        <w:t>p</w:t>
      </w:r>
      <w:r w:rsidR="00B71E03" w:rsidRPr="00D52E13">
        <w:t xml:space="preserve"> &lt; 0.01, *** </w:t>
      </w:r>
      <w:r w:rsidR="00B71E03" w:rsidRPr="00D52E13">
        <w:rPr>
          <w:i/>
        </w:rPr>
        <w:t>p</w:t>
      </w:r>
      <w:r w:rsidR="00B71E03" w:rsidRPr="00D52E13">
        <w:t xml:space="preserve"> &lt; </w:t>
      </w:r>
      <w:r w:rsidR="00B71E03" w:rsidRPr="00D52E13">
        <w:lastRenderedPageBreak/>
        <w:t xml:space="preserve">0.001, **** </w:t>
      </w:r>
      <w:r w:rsidR="00B71E03" w:rsidRPr="00D52E13">
        <w:rPr>
          <w:i/>
        </w:rPr>
        <w:t>p</w:t>
      </w:r>
      <w:r w:rsidR="00B71E03" w:rsidRPr="00D52E13">
        <w:t xml:space="preserve"> &lt; 0.0001.</w:t>
      </w:r>
    </w:p>
    <w:p w14:paraId="0662E0FB" w14:textId="1A5DBCF3" w:rsidR="00B17E12" w:rsidRPr="00D52E13" w:rsidRDefault="00B17E12" w:rsidP="00B71E03">
      <w:pPr>
        <w:spacing w:line="288" w:lineRule="auto"/>
        <w:ind w:firstLine="420"/>
        <w:rPr>
          <w:rFonts w:eastAsiaTheme="minorEastAsia"/>
        </w:rPr>
      </w:pPr>
    </w:p>
    <w:p w14:paraId="19267FDC" w14:textId="77777777" w:rsidR="00B17E12" w:rsidRPr="00D52E13" w:rsidRDefault="00B17E12" w:rsidP="00B71E03">
      <w:pPr>
        <w:spacing w:line="288" w:lineRule="auto"/>
        <w:ind w:firstLine="420"/>
        <w:rPr>
          <w:rFonts w:eastAsiaTheme="minorEastAsia"/>
        </w:rPr>
      </w:pPr>
    </w:p>
    <w:p w14:paraId="61AE713D" w14:textId="4F3016D2" w:rsidR="00B71E03" w:rsidRPr="00D52E13" w:rsidRDefault="00B17E12" w:rsidP="00B71E03">
      <w:pPr>
        <w:spacing w:line="288" w:lineRule="auto"/>
        <w:ind w:firstLine="422"/>
        <w:rPr>
          <w:b/>
          <w:bCs/>
        </w:rPr>
      </w:pPr>
      <w:r w:rsidRPr="00D52E13">
        <w:rPr>
          <w:b/>
          <w:bCs/>
          <w:noProof/>
        </w:rPr>
        <w:drawing>
          <wp:inline distT="0" distB="0" distL="0" distR="0" wp14:anchorId="71357A1E" wp14:editId="182B462E">
            <wp:extent cx="5267325" cy="43719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B16AF" w14:textId="55C42DD5" w:rsidR="00B71E03" w:rsidRPr="00D52E13" w:rsidRDefault="00B17E12" w:rsidP="00B71E03">
      <w:pPr>
        <w:spacing w:line="288" w:lineRule="auto"/>
        <w:ind w:firstLine="422"/>
      </w:pPr>
      <w:r w:rsidRPr="00D52E13">
        <w:rPr>
          <w:b/>
          <w:bCs/>
        </w:rPr>
        <w:t xml:space="preserve">Supplementary </w:t>
      </w:r>
      <w:r w:rsidR="00B71E03" w:rsidRPr="00D52E13">
        <w:rPr>
          <w:b/>
          <w:bCs/>
        </w:rPr>
        <w:t>Fig 3.</w:t>
      </w:r>
      <w:r w:rsidR="00B71E03" w:rsidRPr="00D52E13">
        <w:t xml:space="preserve"> </w:t>
      </w:r>
      <w:r w:rsidR="00B71E03" w:rsidRPr="00D52E13">
        <w:rPr>
          <w:b/>
        </w:rPr>
        <w:t xml:space="preserve">HSR response and thermotolerance in mutants of </w:t>
      </w:r>
      <w:r w:rsidR="00B71E03" w:rsidRPr="00D52E13">
        <w:rPr>
          <w:b/>
          <w:i/>
        </w:rPr>
        <w:t>daf-16</w:t>
      </w:r>
      <w:r w:rsidR="00B71E03" w:rsidRPr="00D52E13">
        <w:rPr>
          <w:b/>
        </w:rPr>
        <w:t xml:space="preserve"> and </w:t>
      </w:r>
      <w:r w:rsidR="00B71E03" w:rsidRPr="00D52E13">
        <w:rPr>
          <w:b/>
          <w:i/>
        </w:rPr>
        <w:t>hsf-1</w:t>
      </w:r>
      <w:r w:rsidR="00B71E03" w:rsidRPr="00D52E13">
        <w:rPr>
          <w:b/>
          <w:bCs/>
        </w:rPr>
        <w:t>.</w:t>
      </w:r>
      <w:r w:rsidR="00B71E03" w:rsidRPr="00D52E13">
        <w:t xml:space="preserve"> (A) Left panel shows heat shock gene expression of </w:t>
      </w:r>
      <w:r w:rsidR="00B71E03" w:rsidRPr="00D52E13">
        <w:rPr>
          <w:i/>
          <w:iCs/>
        </w:rPr>
        <w:t>daf-16</w:t>
      </w:r>
      <w:r w:rsidR="00B71E03" w:rsidRPr="00D52E13">
        <w:t xml:space="preserve"> </w:t>
      </w:r>
      <w:r w:rsidR="00B71E03" w:rsidRPr="00D52E13">
        <w:rPr>
          <w:i/>
        </w:rPr>
        <w:t>(mu86)</w:t>
      </w:r>
      <w:r w:rsidR="00B71E03" w:rsidRPr="00D52E13">
        <w:t xml:space="preserve"> animals on control and </w:t>
      </w:r>
      <w:r w:rsidR="00B71E03" w:rsidRPr="00D52E13">
        <w:rPr>
          <w:i/>
          <w:iCs/>
        </w:rPr>
        <w:t>ifg-1</w:t>
      </w:r>
      <w:r w:rsidR="00B71E03" w:rsidRPr="00D52E13">
        <w:t xml:space="preserve"> RNAi for 7 days with and without thermal stress (4h at 35°C). Two-way ANOVAs were run for each strain comparing </w:t>
      </w:r>
      <w:proofErr w:type="spellStart"/>
      <w:r w:rsidR="00B71E03" w:rsidRPr="00D52E13">
        <w:rPr>
          <w:rStyle w:val="cf01"/>
        </w:rPr>
        <w:t>Δ</w:t>
      </w:r>
      <w:r w:rsidR="00B71E03" w:rsidRPr="00D52E13">
        <w:t>Cts</w:t>
      </w:r>
      <w:proofErr w:type="spellEnd"/>
      <w:r w:rsidR="00B71E03" w:rsidRPr="00D52E13">
        <w:t xml:space="preserve"> of all genes. Right panel shows survival of </w:t>
      </w:r>
      <w:r w:rsidR="00B71E03" w:rsidRPr="00D52E13">
        <w:rPr>
          <w:i/>
          <w:iCs/>
        </w:rPr>
        <w:t>daf-16</w:t>
      </w:r>
      <w:r w:rsidR="00B71E03" w:rsidRPr="00D52E13">
        <w:t xml:space="preserve"> </w:t>
      </w:r>
      <w:r w:rsidR="00B71E03" w:rsidRPr="00D52E13">
        <w:rPr>
          <w:i/>
        </w:rPr>
        <w:t xml:space="preserve">(mu86) </w:t>
      </w:r>
      <w:r w:rsidR="00B71E03" w:rsidRPr="00D52E13">
        <w:t xml:space="preserve">animals subjected to heat stress (4h at 35ºC). Unpaired t-tests using Welch’s correction were run at each time point (Table S18). (B) Same as in (A), but for </w:t>
      </w:r>
      <w:r w:rsidR="00B71E03" w:rsidRPr="00D52E13">
        <w:rPr>
          <w:i/>
          <w:iCs/>
        </w:rPr>
        <w:t>hsf-1 (sy441)</w:t>
      </w:r>
      <w:r w:rsidR="00B71E03" w:rsidRPr="00D52E13">
        <w:t xml:space="preserve"> (</w:t>
      </w:r>
      <w:r w:rsidR="009F120E" w:rsidRPr="00D52E13">
        <w:rPr>
          <w:b/>
          <w:bCs/>
        </w:rPr>
        <w:t>Supplementary</w:t>
      </w:r>
      <w:r w:rsidR="009F120E" w:rsidRPr="00D52E13">
        <w:t xml:space="preserve"> </w:t>
      </w:r>
      <w:r w:rsidR="009F120E" w:rsidRPr="009F120E">
        <w:rPr>
          <w:b/>
        </w:rPr>
        <w:t>Table</w:t>
      </w:r>
      <w:r w:rsidR="009F120E" w:rsidRPr="00D52E13">
        <w:t xml:space="preserve"> </w:t>
      </w:r>
      <w:r w:rsidR="009F120E" w:rsidRPr="009F120E">
        <w:rPr>
          <w:b/>
        </w:rPr>
        <w:t>1</w:t>
      </w:r>
      <w:r w:rsidR="009F120E">
        <w:rPr>
          <w:b/>
        </w:rPr>
        <w:t>8</w:t>
      </w:r>
      <w:r w:rsidR="00B71E03" w:rsidRPr="00D52E13">
        <w:t xml:space="preserve">). Error bars represent means ± SEM. * </w:t>
      </w:r>
      <w:r w:rsidR="00B71E03" w:rsidRPr="00D52E13">
        <w:rPr>
          <w:i/>
        </w:rPr>
        <w:t>p</w:t>
      </w:r>
      <w:r w:rsidR="002D69CA" w:rsidRPr="00D52E13">
        <w:rPr>
          <w:i/>
        </w:rPr>
        <w:t xml:space="preserve"> </w:t>
      </w:r>
      <w:r w:rsidR="00B71E03" w:rsidRPr="00D52E13">
        <w:t xml:space="preserve">&lt;0.05, ** </w:t>
      </w:r>
      <w:r w:rsidR="00B71E03" w:rsidRPr="00D52E13">
        <w:rPr>
          <w:i/>
        </w:rPr>
        <w:t>p</w:t>
      </w:r>
      <w:r w:rsidR="00B71E03" w:rsidRPr="00D52E13">
        <w:t xml:space="preserve"> &lt; 0.01, *** </w:t>
      </w:r>
      <w:r w:rsidR="00B71E03" w:rsidRPr="00D52E13">
        <w:rPr>
          <w:i/>
        </w:rPr>
        <w:t>p</w:t>
      </w:r>
      <w:r w:rsidR="00B71E03" w:rsidRPr="00D52E13">
        <w:t xml:space="preserve"> &lt; 0.001, **** </w:t>
      </w:r>
      <w:r w:rsidR="00B71E03" w:rsidRPr="00D52E13">
        <w:rPr>
          <w:i/>
        </w:rPr>
        <w:t>p</w:t>
      </w:r>
      <w:r w:rsidR="00B71E03" w:rsidRPr="00D52E13">
        <w:t xml:space="preserve"> &lt; 0.0001.</w:t>
      </w:r>
    </w:p>
    <w:p w14:paraId="25FAAC4A" w14:textId="1CB0678E" w:rsidR="00B17E12" w:rsidRPr="00D52E13" w:rsidRDefault="00B17E12" w:rsidP="00B71E03">
      <w:pPr>
        <w:spacing w:line="288" w:lineRule="auto"/>
        <w:ind w:firstLine="420"/>
        <w:rPr>
          <w:rFonts w:eastAsiaTheme="minorEastAsia"/>
        </w:rPr>
      </w:pPr>
    </w:p>
    <w:p w14:paraId="368186CE" w14:textId="77777777" w:rsidR="00B17E12" w:rsidRPr="00D52E13" w:rsidRDefault="00B17E12" w:rsidP="00B71E03">
      <w:pPr>
        <w:spacing w:line="288" w:lineRule="auto"/>
        <w:ind w:firstLine="420"/>
        <w:rPr>
          <w:rFonts w:eastAsiaTheme="minorEastAsia"/>
        </w:rPr>
      </w:pPr>
    </w:p>
    <w:p w14:paraId="01E23C80" w14:textId="778B9FFA" w:rsidR="00B71E03" w:rsidRPr="00D52E13" w:rsidRDefault="00B17E12" w:rsidP="00B71E03">
      <w:pPr>
        <w:spacing w:line="288" w:lineRule="auto"/>
        <w:ind w:firstLine="422"/>
        <w:rPr>
          <w:b/>
          <w:bCs/>
        </w:rPr>
      </w:pPr>
      <w:r w:rsidRPr="00D52E13">
        <w:rPr>
          <w:b/>
          <w:bCs/>
          <w:noProof/>
        </w:rPr>
        <w:lastRenderedPageBreak/>
        <w:drawing>
          <wp:inline distT="0" distB="0" distL="0" distR="0" wp14:anchorId="6C008B80" wp14:editId="01DF88B1">
            <wp:extent cx="5267325" cy="47529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7B6F7" w14:textId="3A82E190" w:rsidR="00B71E03" w:rsidRPr="001F1726" w:rsidRDefault="00B17E12" w:rsidP="00B71E03">
      <w:pPr>
        <w:spacing w:line="288" w:lineRule="auto"/>
        <w:ind w:firstLine="422"/>
      </w:pPr>
      <w:r w:rsidRPr="00D52E13">
        <w:rPr>
          <w:b/>
          <w:bCs/>
        </w:rPr>
        <w:t xml:space="preserve">Supplementary </w:t>
      </w:r>
      <w:r w:rsidR="00B71E03" w:rsidRPr="00D52E13">
        <w:rPr>
          <w:b/>
          <w:bCs/>
        </w:rPr>
        <w:t>Fig 4.</w:t>
      </w:r>
      <w:r w:rsidR="00B71E03" w:rsidRPr="00D52E13">
        <w:t xml:space="preserve"> </w:t>
      </w:r>
      <w:r w:rsidR="00B71E03" w:rsidRPr="00D52E13">
        <w:rPr>
          <w:b/>
        </w:rPr>
        <w:t>RNAi screen for genes that subdue muscle gene expression changes under low translation conditions</w:t>
      </w:r>
      <w:r w:rsidR="00B71E03" w:rsidRPr="00D52E13">
        <w:rPr>
          <w:b/>
          <w:bCs/>
        </w:rPr>
        <w:t>.</w:t>
      </w:r>
      <w:r w:rsidR="00B71E03" w:rsidRPr="00D52E13">
        <w:t xml:space="preserve"> (A) </w:t>
      </w:r>
      <w:r w:rsidR="00B71E03" w:rsidRPr="00D52E13">
        <w:rPr>
          <w:i/>
          <w:iCs/>
        </w:rPr>
        <w:t xml:space="preserve">unc-54 </w:t>
      </w:r>
      <w:r w:rsidR="00B71E03" w:rsidRPr="00D52E13">
        <w:t xml:space="preserve">expression of wild-type N2 animals who spent 2 days on </w:t>
      </w:r>
      <w:r w:rsidR="00B71E03" w:rsidRPr="00D52E13">
        <w:rPr>
          <w:i/>
          <w:iCs/>
        </w:rPr>
        <w:t xml:space="preserve">ifg-1 </w:t>
      </w:r>
      <w:r w:rsidR="00B71E03" w:rsidRPr="00D52E13">
        <w:t>RNAi before being transferred to the RNAis shown for an additional 5 days. (B) Same as in (A) except that the screen was carried out using neuron-specific RNAi strain TU3335. See Supplementary Table S1 for full RNAi gene list used in both strains.</w:t>
      </w:r>
      <w:r w:rsidR="00B71E03" w:rsidRPr="001F1726">
        <w:t xml:space="preserve"> </w:t>
      </w:r>
    </w:p>
    <w:p w14:paraId="574C39B9" w14:textId="77777777" w:rsidR="0014134E" w:rsidRPr="00B71E03" w:rsidRDefault="009F120E">
      <w:pPr>
        <w:ind w:firstLine="420"/>
      </w:pPr>
    </w:p>
    <w:sectPr w:rsidR="0014134E" w:rsidRPr="00B71E0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6CB32" w14:textId="77777777" w:rsidR="00710B70" w:rsidRDefault="00710B70" w:rsidP="00B71E03">
      <w:pPr>
        <w:ind w:firstLine="420"/>
      </w:pPr>
      <w:r>
        <w:separator/>
      </w:r>
    </w:p>
  </w:endnote>
  <w:endnote w:type="continuationSeparator" w:id="0">
    <w:p w14:paraId="3D5E1802" w14:textId="77777777" w:rsidR="00710B70" w:rsidRDefault="00710B70" w:rsidP="00B71E03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FE5C1" w14:textId="77777777" w:rsidR="002D69CA" w:rsidRDefault="002D69C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A9A09" w14:textId="77777777" w:rsidR="002D69CA" w:rsidRDefault="002D69C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A2134" w14:textId="77777777" w:rsidR="002D69CA" w:rsidRDefault="002D69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EAEEB" w14:textId="77777777" w:rsidR="00710B70" w:rsidRDefault="00710B70" w:rsidP="00B71E03">
      <w:pPr>
        <w:ind w:firstLine="420"/>
      </w:pPr>
      <w:r>
        <w:separator/>
      </w:r>
    </w:p>
  </w:footnote>
  <w:footnote w:type="continuationSeparator" w:id="0">
    <w:p w14:paraId="486430E0" w14:textId="77777777" w:rsidR="00710B70" w:rsidRDefault="00710B70" w:rsidP="00B71E03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0F574" w14:textId="77777777" w:rsidR="002D69CA" w:rsidRDefault="002D69C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8A5A5" w14:textId="77777777" w:rsidR="002D69CA" w:rsidRDefault="002D69C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A6A63" w14:textId="77777777" w:rsidR="002D69CA" w:rsidRDefault="002D69C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5DE"/>
    <w:rsid w:val="001C4626"/>
    <w:rsid w:val="0024541E"/>
    <w:rsid w:val="002D69CA"/>
    <w:rsid w:val="002E3A41"/>
    <w:rsid w:val="00474C63"/>
    <w:rsid w:val="004A4AB7"/>
    <w:rsid w:val="004E55DE"/>
    <w:rsid w:val="00507AF4"/>
    <w:rsid w:val="005924F0"/>
    <w:rsid w:val="0060416F"/>
    <w:rsid w:val="00624804"/>
    <w:rsid w:val="00710B70"/>
    <w:rsid w:val="00713AC3"/>
    <w:rsid w:val="00742C88"/>
    <w:rsid w:val="00982A3A"/>
    <w:rsid w:val="009F120E"/>
    <w:rsid w:val="00A11BB4"/>
    <w:rsid w:val="00B17E12"/>
    <w:rsid w:val="00B71E03"/>
    <w:rsid w:val="00BC00DD"/>
    <w:rsid w:val="00BD07EA"/>
    <w:rsid w:val="00D5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279633F"/>
  <w15:chartTrackingRefBased/>
  <w15:docId w15:val="{75BCC836-DC87-4DCF-B8A7-4953CAE74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1E03"/>
    <w:pPr>
      <w:widowControl w:val="0"/>
      <w:ind w:firstLineChars="200" w:firstLine="200"/>
      <w:jc w:val="both"/>
    </w:pPr>
    <w:rPr>
      <w:rFonts w:ascii="Times New Roman" w:eastAsia="Times New Roman" w:hAnsi="Times New Roman" w:cs="Times New Roman"/>
      <w:szCs w:val="21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624804"/>
    <w:pPr>
      <w:keepNext/>
      <w:keepLines/>
      <w:widowControl/>
      <w:adjustRightInd w:val="0"/>
      <w:snapToGrid w:val="0"/>
      <w:spacing w:before="360" w:after="360"/>
      <w:ind w:firstLineChars="0" w:firstLine="0"/>
      <w:outlineLvl w:val="0"/>
    </w:pPr>
    <w:rPr>
      <w:b/>
      <w:bCs/>
      <w:noProof/>
      <w:color w:val="000000"/>
      <w:kern w:val="44"/>
      <w:sz w:val="24"/>
      <w:szCs w:val="22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742C88"/>
    <w:pPr>
      <w:keepNext/>
      <w:keepLines/>
      <w:widowControl/>
      <w:adjustRightInd w:val="0"/>
      <w:snapToGrid w:val="0"/>
      <w:spacing w:before="240" w:after="240"/>
      <w:ind w:firstLineChars="0" w:firstLine="0"/>
      <w:outlineLvl w:val="1"/>
    </w:pPr>
    <w:rPr>
      <w:b/>
      <w:bCs/>
      <w:i/>
      <w:noProof/>
      <w:color w:val="000000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742C88"/>
    <w:pPr>
      <w:keepNext/>
      <w:keepLines/>
      <w:widowControl/>
      <w:adjustRightInd w:val="0"/>
      <w:snapToGrid w:val="0"/>
      <w:spacing w:before="160" w:after="160"/>
      <w:ind w:firstLineChars="0" w:firstLine="0"/>
      <w:outlineLvl w:val="2"/>
    </w:pPr>
    <w:rPr>
      <w:bCs/>
      <w:i/>
      <w:noProof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Heading level 1 字符"/>
    <w:basedOn w:val="a0"/>
    <w:link w:val="1"/>
    <w:uiPriority w:val="9"/>
    <w:rsid w:val="00624804"/>
    <w:rPr>
      <w:rFonts w:ascii="Times New Roman" w:eastAsia="Times New Roman" w:hAnsi="Times New Roman" w:cs="Times New Roman"/>
      <w:b/>
      <w:bCs/>
      <w:noProof/>
      <w:color w:val="000000"/>
      <w:kern w:val="44"/>
      <w:sz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742C88"/>
    <w:rPr>
      <w:rFonts w:ascii="Times New Roman" w:eastAsia="Times New Roman" w:hAnsi="Times New Roman" w:cs="Times New Roman"/>
      <w:b/>
      <w:bCs/>
      <w:i/>
      <w:noProof/>
      <w:color w:val="000000"/>
      <w:szCs w:val="21"/>
    </w:rPr>
  </w:style>
  <w:style w:type="paragraph" w:customStyle="1" w:styleId="Abstract">
    <w:name w:val="Abstract"/>
    <w:next w:val="a"/>
    <w:uiPriority w:val="5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742C88"/>
    <w:pPr>
      <w:adjustRightInd w:val="0"/>
      <w:snapToGrid w:val="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Articletype">
    <w:name w:val="Article type"/>
    <w:next w:val="a"/>
    <w:qFormat/>
    <w:rsid w:val="00742C88"/>
    <w:pPr>
      <w:adjustRightInd w:val="0"/>
      <w:snapToGrid w:val="0"/>
    </w:pPr>
    <w:rPr>
      <w:rFonts w:ascii="Times New Roman" w:eastAsia="Times New Roman" w:hAnsi="Times New Roman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Authornames">
    <w:name w:val="Authornames"/>
    <w:next w:val="a"/>
    <w:uiPriority w:val="2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Backmatter">
    <w:name w:val="Back matter"/>
    <w:uiPriority w:val="18"/>
    <w:qFormat/>
    <w:rsid w:val="00742C88"/>
    <w:pPr>
      <w:adjustRightInd w:val="0"/>
      <w:snapToGrid w:val="0"/>
      <w:spacing w:beforeLines="50" w:before="50" w:afterLines="50" w:after="5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742C88"/>
    <w:pPr>
      <w:numPr>
        <w:numId w:val="3"/>
      </w:numPr>
      <w:adjustRightInd w:val="0"/>
      <w:snapToGrid w:val="0"/>
      <w:spacing w:before="40" w:after="40"/>
      <w:ind w:hangingChars="200" w:hanging="200"/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742C88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742C88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Equation">
    <w:name w:val="Equation"/>
    <w:uiPriority w:val="17"/>
    <w:qFormat/>
    <w:rsid w:val="00742C88"/>
    <w:pPr>
      <w:adjustRightInd w:val="0"/>
      <w:snapToGrid w:val="0"/>
      <w:spacing w:before="60" w:after="60"/>
      <w:ind w:left="709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">
    <w:name w:val="Figure"/>
    <w:uiPriority w:val="15"/>
    <w:qFormat/>
    <w:rsid w:val="00742C88"/>
    <w:pPr>
      <w:adjustRightInd w:val="0"/>
      <w:snapToGrid w:val="0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Figuretitle">
    <w:name w:val="Figure title"/>
    <w:uiPriority w:val="13"/>
    <w:rsid w:val="00742C88"/>
    <w:pPr>
      <w:adjustRightInd w:val="0"/>
      <w:snapToGrid w:val="0"/>
      <w:spacing w:after="100" w:afterAutospacing="1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1"/>
      <w:lang w:bidi="en-US"/>
    </w:rPr>
  </w:style>
  <w:style w:type="paragraph" w:customStyle="1" w:styleId="Keywords">
    <w:name w:val="Keywords"/>
    <w:next w:val="a"/>
    <w:link w:val="Keywords0"/>
    <w:uiPriority w:val="6"/>
    <w:qFormat/>
    <w:rsid w:val="00742C88"/>
    <w:pPr>
      <w:adjustRightInd w:val="0"/>
      <w:snapToGrid w:val="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Keywords0">
    <w:name w:val="Keywords 字符"/>
    <w:basedOn w:val="a0"/>
    <w:link w:val="Keywords"/>
    <w:uiPriority w:val="6"/>
    <w:rsid w:val="00742C88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742C88"/>
    <w:pPr>
      <w:ind w:left="200" w:hangingChars="200" w:hanging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basedOn w:val="Keywords0"/>
    <w:link w:val="Reference"/>
    <w:uiPriority w:val="19"/>
    <w:rsid w:val="00742C88"/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742C88"/>
    <w:pPr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742C88"/>
    <w:pPr>
      <w:adjustRightInd w:val="0"/>
      <w:snapToGrid w:val="0"/>
      <w:spacing w:beforeLines="100" w:before="100" w:afterLines="100" w:after="100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2E3A41"/>
    <w:pPr>
      <w:ind w:firstLineChars="200" w:firstLine="200"/>
      <w:jc w:val="both"/>
    </w:pPr>
    <w:rPr>
      <w:rFonts w:ascii="Times New Roman" w:eastAsia="Times New Roman" w:hAnsi="Times New Roman" w:cs="Times New Roman"/>
      <w:snapToGrid w:val="0"/>
      <w:color w:val="000000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2E3A41"/>
    <w:rPr>
      <w:rFonts w:ascii="Times New Roman" w:eastAsia="Times New Roman" w:hAnsi="Times New Roman" w:cs="Times New Roman"/>
      <w:snapToGrid w:val="0"/>
      <w:color w:val="000000"/>
      <w:szCs w:val="28"/>
      <w:lang w:eastAsia="de-DE" w:bidi="en-US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742C88"/>
    <w:rPr>
      <w:rFonts w:ascii="Times New Roman" w:eastAsia="Times New Roman" w:hAnsi="Times New Roman" w:cs="Times New Roman"/>
      <w:bCs/>
      <w:i/>
      <w:noProof/>
      <w:color w:val="000000"/>
      <w:szCs w:val="21"/>
    </w:rPr>
  </w:style>
  <w:style w:type="paragraph" w:styleId="a3">
    <w:name w:val="header"/>
    <w:basedOn w:val="a"/>
    <w:link w:val="a4"/>
    <w:uiPriority w:val="99"/>
    <w:unhideWhenUsed/>
    <w:rsid w:val="00B71E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71E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71E03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71E03"/>
    <w:rPr>
      <w:sz w:val="18"/>
      <w:szCs w:val="18"/>
    </w:rPr>
  </w:style>
  <w:style w:type="character" w:customStyle="1" w:styleId="cf01">
    <w:name w:val="cf01"/>
    <w:basedOn w:val="a0"/>
    <w:rsid w:val="00B71E0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348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Pacem</dc:creator>
  <cp:keywords/>
  <dc:description/>
  <cp:lastModifiedBy>Erin Hee</cp:lastModifiedBy>
  <cp:revision>8</cp:revision>
  <dcterms:created xsi:type="dcterms:W3CDTF">2024-06-24T00:42:00Z</dcterms:created>
  <dcterms:modified xsi:type="dcterms:W3CDTF">2024-07-18T03:15:00Z</dcterms:modified>
</cp:coreProperties>
</file>